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ascii="宋体" w:hAnsi="宋体"/>
          <w:b/>
          <w:bCs w:val="0"/>
          <w:sz w:val="28"/>
          <w:szCs w:val="28"/>
          <w:lang w:val="en-US" w:eastAsia="zh-CN"/>
        </w:rPr>
      </w:pPr>
      <w:bookmarkStart w:id="0" w:name="_Toc423504331"/>
      <w:bookmarkStart w:id="1" w:name="_Toc339924816"/>
      <w:bookmarkStart w:id="2" w:name="_Toc339957841"/>
      <w:bookmarkStart w:id="3" w:name="_Toc340565123"/>
      <w:bookmarkStart w:id="4" w:name="_Toc29297"/>
      <w:bookmarkStart w:id="5" w:name="_Toc339724527"/>
      <w:bookmarkStart w:id="6" w:name="_Toc339919010"/>
      <w:bookmarkStart w:id="7" w:name="_Toc339926760"/>
      <w:bookmarkStart w:id="8" w:name="_Toc2394"/>
      <w:bookmarkStart w:id="9" w:name="_Toc339918924"/>
      <w:bookmarkStart w:id="10" w:name="_Toc339952758"/>
      <w:bookmarkStart w:id="11" w:name="_Toc8438"/>
      <w:bookmarkStart w:id="40" w:name="_GoBack"/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附件5</w:t>
      </w:r>
    </w:p>
    <w:bookmarkEnd w:id="40"/>
    <w:p>
      <w:pPr>
        <w:spacing w:line="360" w:lineRule="exact"/>
        <w:jc w:val="center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SMS室外绿化养护服务质量要求</w:t>
      </w:r>
    </w:p>
    <w:p>
      <w:pPr>
        <w:spacing w:line="360" w:lineRule="exact"/>
        <w:jc w:val="center"/>
        <w:rPr>
          <w:rFonts w:hint="default" w:ascii="宋体" w:hAnsi="宋体"/>
          <w:b/>
          <w:bCs w:val="0"/>
          <w:sz w:val="28"/>
          <w:szCs w:val="28"/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>
      <w:pPr>
        <w:spacing w:line="360" w:lineRule="exact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 w:val="0"/>
          <w:sz w:val="28"/>
          <w:szCs w:val="28"/>
        </w:rPr>
        <w:t>草坪养护</w:t>
      </w:r>
      <w:bookmarkEnd w:id="11"/>
    </w:p>
    <w:tbl>
      <w:tblPr>
        <w:tblStyle w:val="2"/>
        <w:tblW w:w="6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5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546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养护质量要求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草坪管养的标准是草坪生长旺盛，呈勃勃生机，草坪平整雅观，覆盖率达98%以上，杂草率低于2%，无裸露地。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生长势强，叶片健壮，生机勃勃，叶色浓绿，无枯黄叶。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546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虑季节特点和草种的生长发育特性，使草坪的高度一致，边缘整齐。当草高超过12厘米时必须进行修剪，修剪时坚持草坪单次修剪1/3的原则，不要一次性修剪到底，冬季补播后的修剪高度在3厘米范围内，每次修剪后及时清理草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546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草坪生长到一定阶段，生长密度过高，会出现根茎密度过大、过细的生长状况，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需</w:t>
            </w:r>
            <w:r>
              <w:rPr>
                <w:rFonts w:hint="eastAsia" w:ascii="宋体" w:hAnsi="宋体"/>
                <w:bCs/>
                <w:sz w:val="24"/>
              </w:rPr>
              <w:t>用专用的梳草机械进行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梳草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546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草坪生长一定时期后，易出现生长基础板结，根系生长不良，需要进行机械打孔作业，一般是1次/年。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546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根据草坪植物的生长需要加强淋水和施肥，保证肥水充足，肥料的施用方法和用量科学，防止过量或不均引起肥伤。草坪施肥量：草坪专用有机肥（含氮磷钾）每年2次每次每亩300kg，尿素每年1次每次每亩20kg，有机肥在草坪推剪后使用，尿素在每年3-4月份返青季使用，肥料使用后及时适量浇水，具体肥量使用量根据草坪长势情况追加，在雨水缺少季节，淋水量稍大于该规格的蒸发量。根据厂区土壤情况，针对碱性较差区域施磷酸钙每亩不超过15k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46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经常除杂草，使纯草坪和混合草坪的目的草种纯度达98%以上，包括清除路牙缝草。预防使用：暖草净、使它隆二甲四氯混用、莠去津悬浮剂。草害治理使用：使它隆二甲四氯混用，一年4次，每次每亩70毫升，具体根据草害情况增加预防措施及更换相应农药。农药使用前需向甲方管理人员申请报备，甲方核实后走农药喷洒审批流程，审批结束后方可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546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及时填平坑洼地，使草坪内无坑洼积水，平整雅观。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546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对养护不力造成草坪死亡的应及时补植，使草坪保持完整，无裸露地。补植要补与原草坪相同的草种，适当密植，补植后加强保养，保证覆盖率达100%。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546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时做好病虫害的防治工作，以防为主，精心管养，使草坪增强抗病虫能力，经常检查，早发现早处理。采取综合防治、化学防治，物理人工防治和生物防治等方法防止病虫害蔓延和影响植物生长。尽量采用生物防治的办法，以减少对环境的污染。用化学方法防治时，一般在晚上进行喷药；药物、用量及对环境污染影响，要符合环保的要求和标准。发生病虫危害，最严重的危害率在3%以下。预防使用：5%二嗪磷土洒（每亩2000g）、吡唑醚菌酯加芸苔素喷洒、代森锰锌喷洒，一年6次4次喷洒2次土洒，喷洒每次每亩50毫升；治理使用：</w:t>
            </w:r>
            <w:r>
              <w:rPr>
                <w:rFonts w:ascii="宋体" w:hAnsi="宋体"/>
                <w:bCs/>
                <w:sz w:val="24"/>
              </w:rPr>
              <w:t>溴氰菊酯</w:t>
            </w:r>
            <w:r>
              <w:rPr>
                <w:rFonts w:hint="eastAsia" w:ascii="宋体" w:hAnsi="宋体"/>
                <w:bCs/>
                <w:sz w:val="24"/>
              </w:rPr>
              <w:t>、毒死俾、高效氯氰菊酯。具体根据虫害情况增加预防杀虫措施及更换相应农药。农药使用前需向甲方管理人员申请报备，甲方核实后走农药喷洒审批流程，审批结束后方可实施。相同治理药品不可连续使用，防止虫害产生农药抗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5469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每年9月底对所有养护区域内混播草坪播种黑麦草，播种黑麦草每平方米不低于30克，黑麦草种规格为进口常年生蓝标。</w:t>
            </w:r>
          </w:p>
        </w:tc>
      </w:tr>
    </w:tbl>
    <w:p>
      <w:pPr>
        <w:spacing w:line="360" w:lineRule="exact"/>
        <w:rPr>
          <w:rFonts w:hint="eastAsia" w:ascii="宋体" w:hAnsi="宋体"/>
          <w:bCs/>
          <w:sz w:val="24"/>
          <w:lang w:val="en-US" w:eastAsia="zh-CN"/>
        </w:rPr>
      </w:pPr>
      <w:bookmarkStart w:id="12" w:name="_Toc1775"/>
      <w:bookmarkStart w:id="13" w:name="_Toc423504335"/>
      <w:bookmarkStart w:id="14" w:name="_Toc340565129"/>
      <w:bookmarkStart w:id="15" w:name="_Toc339952764"/>
      <w:bookmarkStart w:id="16" w:name="_Toc14170"/>
      <w:bookmarkStart w:id="17" w:name="_Toc339924822"/>
      <w:bookmarkStart w:id="18" w:name="_Toc339926766"/>
      <w:bookmarkStart w:id="19" w:name="_Toc339957847"/>
      <w:bookmarkStart w:id="20" w:name="_Toc28175"/>
      <w:bookmarkStart w:id="21" w:name="_Toc339919016"/>
      <w:bookmarkStart w:id="22" w:name="_Toc339918930"/>
      <w:bookmarkStart w:id="23" w:name="_Toc339724529"/>
    </w:p>
    <w:p>
      <w:pPr>
        <w:spacing w:line="360" w:lineRule="exact"/>
        <w:rPr>
          <w:rFonts w:hint="eastAsia" w:ascii="宋体" w:hAnsi="宋体"/>
          <w:bCs/>
          <w:sz w:val="24"/>
          <w:lang w:val="en-US" w:eastAsia="zh-CN"/>
        </w:rPr>
      </w:pPr>
    </w:p>
    <w:p>
      <w:pPr>
        <w:spacing w:line="360" w:lineRule="exact"/>
        <w:jc w:val="center"/>
        <w:rPr>
          <w:rFonts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树木</w:t>
      </w:r>
      <w:r>
        <w:rPr>
          <w:rFonts w:hint="eastAsia" w:ascii="宋体" w:hAnsi="宋体"/>
          <w:b/>
          <w:bCs w:val="0"/>
          <w:sz w:val="28"/>
          <w:szCs w:val="28"/>
        </w:rPr>
        <w:t>养护</w:t>
      </w:r>
      <w:bookmarkEnd w:id="12"/>
    </w:p>
    <w:tbl>
      <w:tblPr>
        <w:tblStyle w:val="2"/>
        <w:tblW w:w="6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养护质量要求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大院所有树木</w:t>
            </w:r>
            <w:r>
              <w:rPr>
                <w:rFonts w:hint="eastAsia" w:ascii="宋体" w:hAnsi="宋体"/>
                <w:bCs/>
                <w:sz w:val="24"/>
              </w:rPr>
              <w:t>管养的标准是生长旺盛，枝叶健壮，树形美观。行道树下缘线整齐，修剪适度，干直冠美，景观效果优良。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生长势强，生长量超过该树种该规格平均年生长量；枝叶健壮，枝条粗壮，叶色浓绿，无枯枝残叶。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虑树种的生长特点如果萌芽期、花期等，除棕榈科植物外，其它树木一般在叶芽和花芽分化前进行修剪，避免把叶芽和花芽剪掉，使花树木花繁叶茂，树木整形效果要与周围环境协调，以增强美化效果，行道树修剪要保持树冠完整美观，主侧枝分布匀称和数量适宜，内瞠不空又通气透光，根据不同路段车辆等情况确定下缘线高度和树冠体量，要及时修剪；修剪时按操作规程进行，尽量减少伤口，剪口要平，不能留有树钉；荫枝、下垂枝、下缘线下的萌蘖枝及干枯枝叶要及时剪除，名贵树木定期专业人员进行造型整枝、修剪，保证其观赏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根据不同生长季节的天气情况，不同植物种类和不同树龄适当淋水、施肥，并在每年的秋季重点施肥1次。施肥量根据树木的种类和生长情况而定，种植三年以内的树木和树穴植被的乔木要适当增加施肥量。肥料要埋施，先开沟，施肥后要回填土、踏实、整平，切忌肥料裸露。树木施肥挖沟的规格为25*25厘米。开沟的位置一般是树冠外缘的投影线以内（行道树木除外），肥料施粪肥有机肥一年1次，每棵10kg左右；氮磷钾复合肥每年2次每棵1kg左右；硫酸亚铁每年叶面喷洒2次，每棵5毫升；名贵树种施豆饼肥。具体施肥量根据树木大小、长势定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涂白操作要求</w:t>
            </w: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使用国邦、平安成品涂白剂进行涂刷</w:t>
            </w: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涂白高度：1.2m。用刷子蘸上涂白剂均匀地自上而下，涂白均匀，上口平齐，以不流、干后不翘、不脱落为宜。翘、裂、厚的老树皮，最好先将老树皮刮掉，并集中进行焚烧，消灭病虫源，然后再涂白。树干应均匀涂白一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对于养护不力死亡的及时清理死树，要求在一个月内补植回原来的树种并力求规格与原有的树木接近，以保证优良的景观效果。补植要按照树木种植规范进行，施足基肥并加强淋水等保养措施，保证成活率达100%。非养护因素导致的灌木死亡的提供举证材料，并提交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甲</w:t>
            </w:r>
            <w:r>
              <w:rPr>
                <w:rFonts w:hint="eastAsia" w:ascii="宋体" w:hAnsi="宋体"/>
                <w:bCs/>
                <w:sz w:val="24"/>
              </w:rPr>
              <w:t>方确认。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时做好病虫害的防治工作，以防为主，精心管养，使植增强抗病虫能力，经常检查，早发现早治理。采取综合防治、化学防治、物理人工防治和生物防治等方法防止病虫害蔓延和影响灌木生长，尽量采用生物防治的方法，以减少对环境的污染，用化学方法防治时，喷药一般要在晚上进行；药物、用量及对环境的影响，要符合环保的要求和标准。发生病虫危害，最严重的危害率5%以上，单株受害程度在5%以下。（如有树洞应及时修补，防止扩大。）树木虫害预防：氧化乐果、广谱型杀虫剂、敌敌畏乳剂（部分树心灌注），喷洒型每年2次，每棵5毫升；虫害治理：广谱加氧化乐果。具体根据虫害情况增加预防杀虫措施及更换相应农药。农药使用前需向甲方管理人员申请报备，甲方核实后走农药喷洒审批流程，审批结束后方可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做好防台风工作。台风前加强防御措施，合理修剪，加固护树设施，以增强抵御台风的能力。台风吹袭期间迅速清理倒树断枝，疏通道路。台风后及时进行扶树、护树，补好残缺，清除断枝、落叶和垃圾，使绿化景观尽快恢复。同时要求随着树木的长大，及时将护树带或铁箍放松，以免嵌入树皮内。遇雷风雨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/>
                <w:bCs/>
                <w:sz w:val="24"/>
              </w:rPr>
              <w:t>危害而使树木歪斜或倒树断枝，要立即处理、疏通道路。</w:t>
            </w:r>
          </w:p>
        </w:tc>
      </w:tr>
    </w:tbl>
    <w:p>
      <w:pPr>
        <w:spacing w:line="360" w:lineRule="exact"/>
        <w:rPr>
          <w:rFonts w:hint="eastAsia" w:ascii="宋体" w:hAnsi="宋体"/>
          <w:bCs/>
          <w:sz w:val="24"/>
        </w:rPr>
      </w:pPr>
      <w:bookmarkStart w:id="24" w:name="_Toc754"/>
    </w:p>
    <w:p>
      <w:pPr>
        <w:spacing w:line="360" w:lineRule="exact"/>
        <w:rPr>
          <w:rFonts w:hint="eastAsia" w:ascii="宋体" w:hAnsi="宋体"/>
          <w:bCs/>
          <w:sz w:val="24"/>
        </w:rPr>
      </w:pPr>
    </w:p>
    <w:p>
      <w:pPr>
        <w:spacing w:line="360" w:lineRule="exact"/>
        <w:jc w:val="center"/>
        <w:rPr>
          <w:rFonts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灌木和花卉养护</w:t>
      </w:r>
      <w:bookmarkEnd w:id="24"/>
    </w:p>
    <w:tbl>
      <w:tblPr>
        <w:tblStyle w:val="2"/>
        <w:tblW w:w="6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5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养护质量要求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灌木和花卉二级管养的标准是植物配置基本合理，基本达到黄土不露天。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49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生长势：正常生长达到该树种该规格的平均生长量；</w:t>
            </w: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叶子正常：①叶色、大小、薄厚正常；②较严重黄叶、焦叶、卷叶、带虫尿虫网灰尘的株数在2％以下；③被啃咬的叶片最严重的每株在10％以下。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考虑每种植物的生长发育特点，既造型美观又能适时开花，花多色艳；花灌木和草本花卉在花芽分化前进行修剪，避免把花芽剪掉，花谢后及时将残花残枝剪去，常年开花植物要有目的地培养花枝，使四季有花。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根据植物的生长及开花特性进行合理灌溉和施肥。在雨水缺少的季节，每天的淋水量要稍大于该种类规格的蒸腾量。一般在每年春、秋季重点施粪肥有机肥2次，每次每亩3kg；尿素每年1次，初春季节播撒，每亩15kg。具体施肥量根据灌木长势定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经常除杂草和松土，除杂草时要保护根系，不能伤根及造成根系裸露，更不能造成黄土裸露。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对于养护不力死亡的及时清理死苗，一个周内补植原来的种类规格，以保证优良的景观效果。保证成活率达100%。非养护因素导致的灌木死亡的提供举证材料。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时做好病虫害的防治工作，以防为主，精心管养，使植物增强抗病虫能力，经常检查，早发现早处理。尽量采用生物防治的办法，以减少对环境的污染。灌木虫害预防使用：甲维盐加一遍净，每年2次；治理使用：硫克百威加啶虫脒。具体根据虫害情况增加预防措施及更换相应农药。农药使用前需向甲方管理人员申请报备，甲方核实后走农药喷洒审批流程，审批结束后方可实施。</w:t>
            </w:r>
          </w:p>
        </w:tc>
      </w:tr>
      <w:bookmarkEnd w:id="13"/>
      <w:bookmarkEnd w:id="14"/>
      <w:bookmarkEnd w:id="15"/>
      <w:bookmarkEnd w:id="16"/>
      <w:bookmarkEnd w:id="17"/>
      <w:bookmarkEnd w:id="18"/>
      <w:bookmarkEnd w:id="19"/>
      <w:bookmarkEnd w:id="20"/>
    </w:tbl>
    <w:p>
      <w:pPr>
        <w:spacing w:line="360" w:lineRule="exact"/>
        <w:rPr>
          <w:rFonts w:ascii="宋体" w:hAnsi="宋体"/>
          <w:bCs/>
          <w:sz w:val="24"/>
        </w:rPr>
      </w:pPr>
    </w:p>
    <w:p>
      <w:pPr>
        <w:spacing w:line="360" w:lineRule="exact"/>
        <w:rPr>
          <w:rFonts w:ascii="宋体" w:hAnsi="宋体"/>
          <w:bCs/>
          <w:sz w:val="24"/>
        </w:rPr>
      </w:pPr>
    </w:p>
    <w:bookmarkEnd w:id="21"/>
    <w:bookmarkEnd w:id="22"/>
    <w:p>
      <w:pPr>
        <w:spacing w:line="360" w:lineRule="exact"/>
        <w:jc w:val="center"/>
        <w:rPr>
          <w:rFonts w:ascii="宋体" w:hAnsi="宋体"/>
          <w:b/>
          <w:bCs w:val="0"/>
          <w:sz w:val="28"/>
          <w:szCs w:val="28"/>
        </w:rPr>
      </w:pPr>
      <w:bookmarkStart w:id="25" w:name="_Toc8852"/>
      <w:r>
        <w:rPr>
          <w:rFonts w:hint="eastAsia" w:ascii="宋体" w:hAnsi="宋体"/>
          <w:b/>
          <w:bCs w:val="0"/>
          <w:sz w:val="28"/>
          <w:szCs w:val="28"/>
        </w:rPr>
        <w:t>环境卫生要求</w:t>
      </w:r>
      <w:bookmarkEnd w:id="25"/>
    </w:p>
    <w:tbl>
      <w:tblPr>
        <w:tblStyle w:val="2"/>
        <w:tblW w:w="6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5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2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保持绿地无垃圾杂物，包括生活垃圾、石砾砖块、粪便等，发现鼠洞要随时堵塞。清除垃圾杂物后要注意及时清理落叶，保证无大量落叶堆积。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归堆后的垃圾杂物和箩筐等器具摆放在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规定地点</w:t>
            </w:r>
            <w:r>
              <w:rPr>
                <w:rFonts w:hint="eastAsia" w:ascii="宋体" w:hAnsi="宋体"/>
                <w:bCs/>
                <w:sz w:val="24"/>
              </w:rPr>
              <w:t>，垃圾定期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清运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</w:tc>
      </w:tr>
      <w:bookmarkEnd w:id="23"/>
    </w:tbl>
    <w:p>
      <w:pPr>
        <w:spacing w:line="360" w:lineRule="exact"/>
        <w:rPr>
          <w:rFonts w:hint="eastAsia" w:ascii="宋体" w:hAnsi="宋体"/>
          <w:bCs/>
          <w:sz w:val="24"/>
        </w:rPr>
      </w:pPr>
      <w:bookmarkStart w:id="26" w:name="_Toc2052"/>
      <w:bookmarkStart w:id="27" w:name="_Toc11305"/>
      <w:bookmarkStart w:id="28" w:name="_Toc30307"/>
    </w:p>
    <w:p>
      <w:pPr>
        <w:spacing w:line="360" w:lineRule="exact"/>
        <w:rPr>
          <w:rFonts w:hint="eastAsia" w:ascii="宋体" w:hAnsi="宋体"/>
          <w:bCs/>
          <w:sz w:val="24"/>
        </w:rPr>
      </w:pPr>
    </w:p>
    <w:p>
      <w:pPr>
        <w:spacing w:line="360" w:lineRule="exact"/>
        <w:jc w:val="center"/>
        <w:rPr>
          <w:rFonts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人员要求</w:t>
      </w:r>
      <w:bookmarkEnd w:id="26"/>
      <w:bookmarkEnd w:id="27"/>
      <w:bookmarkEnd w:id="28"/>
    </w:p>
    <w:tbl>
      <w:tblPr>
        <w:tblStyle w:val="2"/>
        <w:tblW w:w="6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5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54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49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各点岗位设置详见合同条款第五条（二）。</w:t>
            </w:r>
            <w:r>
              <w:rPr>
                <w:rFonts w:hint="eastAsia" w:ascii="宋体" w:hAnsi="宋体"/>
                <w:bCs/>
                <w:sz w:val="24"/>
              </w:rPr>
              <w:t>养护人员</w:t>
            </w:r>
            <w:r>
              <w:rPr>
                <w:rFonts w:ascii="宋体" w:hAnsi="宋体"/>
                <w:bCs/>
                <w:sz w:val="24"/>
              </w:rPr>
              <w:t>必须</w:t>
            </w:r>
            <w:r>
              <w:rPr>
                <w:rFonts w:hint="eastAsia" w:ascii="宋体" w:hAnsi="宋体"/>
                <w:bCs/>
                <w:sz w:val="24"/>
              </w:rPr>
              <w:t>男6</w:t>
            </w:r>
            <w:r>
              <w:rPr>
                <w:rFonts w:ascii="宋体" w:hAnsi="宋体"/>
                <w:bCs/>
                <w:sz w:val="24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周岁</w:t>
            </w:r>
            <w:r>
              <w:rPr>
                <w:rFonts w:ascii="宋体" w:hAnsi="宋体"/>
                <w:bCs/>
                <w:sz w:val="24"/>
              </w:rPr>
              <w:t>以下</w:t>
            </w:r>
            <w:r>
              <w:rPr>
                <w:rFonts w:hint="eastAsia" w:ascii="宋体" w:hAnsi="宋体"/>
                <w:bCs/>
                <w:sz w:val="24"/>
              </w:rPr>
              <w:t>，女</w:t>
            </w:r>
            <w:r>
              <w:rPr>
                <w:rFonts w:ascii="宋体" w:hAnsi="宋体"/>
                <w:bCs/>
                <w:sz w:val="24"/>
              </w:rPr>
              <w:t>55</w:t>
            </w:r>
            <w:r>
              <w:rPr>
                <w:rFonts w:hint="eastAsia" w:ascii="宋体" w:hAnsi="宋体"/>
                <w:bCs/>
                <w:sz w:val="24"/>
              </w:rPr>
              <w:t>周岁以下</w:t>
            </w:r>
            <w:r>
              <w:rPr>
                <w:rFonts w:ascii="宋体" w:hAnsi="宋体"/>
                <w:bCs/>
                <w:sz w:val="24"/>
              </w:rPr>
              <w:t>，且</w:t>
            </w:r>
            <w:r>
              <w:rPr>
                <w:rFonts w:hint="eastAsia" w:ascii="宋体" w:hAnsi="宋体"/>
                <w:bCs/>
                <w:sz w:val="24"/>
              </w:rPr>
              <w:t>有相关工作经验。每天所需的养护工人数量不得低于规定数量，（一切人员配备需根据养护面积，满足我方养护等级要求）。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49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工人着统一制服，佩戴工作证。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549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现场工作人员</w:t>
            </w:r>
            <w:r>
              <w:rPr>
                <w:rFonts w:hint="eastAsia" w:ascii="宋体" w:hAnsi="宋体"/>
                <w:bCs/>
                <w:sz w:val="24"/>
              </w:rPr>
              <w:t>确保手机畅通。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549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每月25日按时提交下月养护计划，对巡查出的问题及时整改，工作计划需完整，计划内容需详细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</w:rPr>
              <w:t>遇到节假日需提前提交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549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绿化养护人员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bCs/>
                <w:sz w:val="24"/>
              </w:rPr>
              <w:t>时间：周一至周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六6</w:t>
            </w:r>
            <w:r>
              <w:rPr>
                <w:rFonts w:hint="eastAsia" w:ascii="宋体" w:hAnsi="宋体"/>
                <w:bCs/>
                <w:sz w:val="24"/>
              </w:rPr>
              <w:t>: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</w:rPr>
              <w:t>0-1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sz w:val="24"/>
              </w:rPr>
              <w:t>；</w:t>
            </w:r>
          </w:p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因工作上下班时间调整需经过甲方同意后方可，特殊情况服从我方安排。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549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养护人员必须遵从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甲方各项制度规定。</w:t>
            </w:r>
          </w:p>
        </w:tc>
      </w:tr>
    </w:tbl>
    <w:p>
      <w:pPr>
        <w:spacing w:line="360" w:lineRule="exact"/>
        <w:rPr>
          <w:rFonts w:hint="eastAsia" w:ascii="宋体" w:hAnsi="宋体"/>
          <w:bCs/>
          <w:sz w:val="24"/>
          <w:lang w:val="en-US" w:eastAsia="zh-CN"/>
        </w:rPr>
      </w:pPr>
      <w:bookmarkStart w:id="29" w:name="_Toc18100"/>
      <w:bookmarkStart w:id="30" w:name="_Toc18410"/>
      <w:bookmarkStart w:id="31" w:name="_Toc339952778"/>
      <w:bookmarkStart w:id="32" w:name="_Toc423589537"/>
      <w:bookmarkStart w:id="33" w:name="_Toc423504342"/>
      <w:bookmarkStart w:id="34" w:name="_Toc19531"/>
      <w:bookmarkStart w:id="35" w:name="_Toc339957861"/>
      <w:bookmarkStart w:id="36" w:name="_Toc339926780"/>
      <w:bookmarkStart w:id="37" w:name="_Toc340565143"/>
    </w:p>
    <w:p>
      <w:pPr>
        <w:spacing w:line="360" w:lineRule="exact"/>
        <w:rPr>
          <w:rFonts w:hint="eastAsia" w:ascii="宋体" w:hAnsi="宋体"/>
          <w:bCs/>
          <w:sz w:val="24"/>
          <w:lang w:val="en-US" w:eastAsia="zh-CN"/>
        </w:rPr>
      </w:pPr>
    </w:p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>
      <w:pPr>
        <w:spacing w:line="360" w:lineRule="exact"/>
        <w:jc w:val="center"/>
        <w:rPr>
          <w:rFonts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</w:rPr>
        <w:t>养护设备基本配备</w:t>
      </w:r>
    </w:p>
    <w:tbl>
      <w:tblPr>
        <w:tblStyle w:val="2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061"/>
        <w:gridCol w:w="1839"/>
        <w:gridCol w:w="159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编号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名称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数量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手推式草坪机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绿篱机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高枝剪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把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梳草机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各类剪刀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把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若干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背包机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把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手锯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把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高压打药喷雾器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汽油机水泵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打孔机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临时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11</w:t>
            </w:r>
          </w:p>
        </w:tc>
        <w:tc>
          <w:tcPr>
            <w:tcW w:w="5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其他需要配备的机械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临时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12</w:t>
            </w:r>
          </w:p>
        </w:tc>
        <w:tc>
          <w:tcPr>
            <w:tcW w:w="5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bookmarkStart w:id="38" w:name="OLE_LINK2"/>
            <w:bookmarkStart w:id="39" w:name="OLE_LINK1"/>
            <w:r>
              <w:rPr>
                <w:rFonts w:hint="eastAsia" w:ascii="宋体" w:hAnsi="宋体"/>
                <w:bCs/>
                <w:sz w:val="24"/>
              </w:rPr>
              <w:t>对投入使用的机械、材料、器具设施的质量负责，养护合同签订日期开始十天内，必须将草坪机、割灌机、绿篱机、高压打药车、浇灌设备等主要设备送达我方，通知我方清点。自备的机械、材料、器具设备发生故障，应及时维修，及时更换，并自行承担相应费用。</w:t>
            </w:r>
            <w:bookmarkEnd w:id="38"/>
            <w:bookmarkEnd w:id="39"/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MWZkMjU4MzYyNjQwN2Y3OWNmOGIzMDRjNzYyY2UifQ=="/>
  </w:docVars>
  <w:rsids>
    <w:rsidRoot w:val="00000000"/>
    <w:rsid w:val="024110AB"/>
    <w:rsid w:val="03CE5F43"/>
    <w:rsid w:val="04B311B9"/>
    <w:rsid w:val="07CA2DC8"/>
    <w:rsid w:val="09F840EC"/>
    <w:rsid w:val="0D5D009A"/>
    <w:rsid w:val="10007BDE"/>
    <w:rsid w:val="13D203EC"/>
    <w:rsid w:val="16030367"/>
    <w:rsid w:val="1A4237B0"/>
    <w:rsid w:val="1BB32CA8"/>
    <w:rsid w:val="1D517D4C"/>
    <w:rsid w:val="21FD49DD"/>
    <w:rsid w:val="22842735"/>
    <w:rsid w:val="233373B7"/>
    <w:rsid w:val="235760D8"/>
    <w:rsid w:val="2387605A"/>
    <w:rsid w:val="27EF3A04"/>
    <w:rsid w:val="2F1E11AB"/>
    <w:rsid w:val="31380309"/>
    <w:rsid w:val="32D94D7A"/>
    <w:rsid w:val="330511FA"/>
    <w:rsid w:val="369F5641"/>
    <w:rsid w:val="37FD5E9F"/>
    <w:rsid w:val="39A66533"/>
    <w:rsid w:val="3CBA0619"/>
    <w:rsid w:val="412871E3"/>
    <w:rsid w:val="46B654FC"/>
    <w:rsid w:val="4CF363A3"/>
    <w:rsid w:val="4F4008DA"/>
    <w:rsid w:val="50B25281"/>
    <w:rsid w:val="522930B1"/>
    <w:rsid w:val="58BC2DD0"/>
    <w:rsid w:val="5BC01135"/>
    <w:rsid w:val="5E8C7F44"/>
    <w:rsid w:val="61640AD8"/>
    <w:rsid w:val="63420CA3"/>
    <w:rsid w:val="643D4896"/>
    <w:rsid w:val="685B5316"/>
    <w:rsid w:val="695511B1"/>
    <w:rsid w:val="6C952610"/>
    <w:rsid w:val="6F5062C5"/>
    <w:rsid w:val="6FE436CB"/>
    <w:rsid w:val="758964F0"/>
    <w:rsid w:val="77B008D5"/>
    <w:rsid w:val="78850995"/>
    <w:rsid w:val="7988058F"/>
    <w:rsid w:val="7A8C5721"/>
    <w:rsid w:val="7BC65066"/>
    <w:rsid w:val="7F53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3708</Words>
  <Characters>3783</Characters>
  <Lines>0</Lines>
  <Paragraphs>0</Paragraphs>
  <TotalTime>4</TotalTime>
  <ScaleCrop>false</ScaleCrop>
  <LinksUpToDate>false</LinksUpToDate>
  <CharactersWithSpaces>3783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2022-10-12T06:14:00Z</dcterms:created>
  <dc:creator>86177</dc:creator>
  <cp:lastModifiedBy>仨宝妈</cp:lastModifiedBy>
  <dcterms:modified xsi:type="dcterms:W3CDTF">2022-12-19T02:57:08Z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2FD4CD04EF9342D38CBBBD582DF78E0D</vt:lpwstr>
  </property>
</Properties>
</file>